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AB" w:rsidRPr="0063673F" w:rsidRDefault="0051097B" w:rsidP="009F20AB">
      <w:pPr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63673F">
        <w:rPr>
          <w:rFonts w:ascii="Calibri" w:hAnsi="Calibri" w:cs="Arial"/>
          <w:b/>
          <w:sz w:val="20"/>
          <w:szCs w:val="20"/>
          <w:lang w:val="en-US"/>
        </w:rPr>
        <w:t>April 26</w:t>
      </w:r>
    </w:p>
    <w:p w:rsidR="009F20AB" w:rsidRPr="0063673F" w:rsidRDefault="009F20AB" w:rsidP="009F20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900"/>
        <w:gridCol w:w="3510"/>
        <w:gridCol w:w="1866"/>
      </w:tblGrid>
      <w:tr w:rsidR="00DA11FA" w:rsidRPr="0063673F" w:rsidTr="00DA11FA">
        <w:tc>
          <w:tcPr>
            <w:tcW w:w="1289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Time </w:t>
            </w: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Room / technical specification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Type of activity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673F">
              <w:rPr>
                <w:rFonts w:asciiTheme="minorHAnsi" w:hAnsiTheme="minorHAnsi"/>
                <w:b/>
                <w:sz w:val="20"/>
                <w:szCs w:val="20"/>
              </w:rPr>
              <w:t xml:space="preserve">Output </w:t>
            </w:r>
          </w:p>
        </w:tc>
      </w:tr>
      <w:tr w:rsidR="00DA11FA" w:rsidRPr="0063673F" w:rsidTr="00DA11FA">
        <w:tc>
          <w:tcPr>
            <w:tcW w:w="1289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  <w:r w:rsidRPr="0063673F">
              <w:rPr>
                <w:rFonts w:asciiTheme="minorHAnsi" w:hAnsiTheme="minorHAnsi"/>
                <w:sz w:val="20"/>
                <w:szCs w:val="20"/>
              </w:rPr>
              <w:t>:30 – 10:00</w:t>
            </w: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216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Registration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11FA" w:rsidRPr="0063673F" w:rsidTr="00DA11FA">
        <w:tc>
          <w:tcPr>
            <w:tcW w:w="1289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>10:00 – 11:00</w:t>
            </w: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216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Opening , Welcome Address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11FA" w:rsidRPr="0063673F" w:rsidTr="00DA11FA">
        <w:tc>
          <w:tcPr>
            <w:tcW w:w="1289" w:type="dxa"/>
            <w:vMerge w:val="restart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 xml:space="preserve">11.15-13.40– </w:t>
            </w:r>
          </w:p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216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EU</w:t>
            </w:r>
            <w:r w:rsidRPr="006367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Council and European Commission</w:t>
            </w:r>
          </w:p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(with members of the EP assisting the meeting)</w:t>
            </w:r>
          </w:p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Negotiation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mandate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elaboration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>Mandate for the negotiations</w:t>
            </w:r>
            <w:r w:rsidR="00AF3A14">
              <w:rPr>
                <w:rFonts w:asciiTheme="minorHAnsi" w:hAnsiTheme="minorHAnsi"/>
                <w:sz w:val="20"/>
                <w:szCs w:val="20"/>
              </w:rPr>
              <w:t xml:space="preserve"> (2-3</w:t>
            </w:r>
            <w:r w:rsidR="00AF3A14">
              <w:rPr>
                <w:rFonts w:asciiTheme="minorHAnsi" w:hAnsiTheme="minorHAnsi"/>
                <w:sz w:val="20"/>
                <w:szCs w:val="20"/>
                <w:lang w:val="en-US"/>
              </w:rPr>
              <w:t>pages)</w:t>
            </w:r>
            <w:r w:rsidRPr="006367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A11FA" w:rsidRPr="0063673F" w:rsidTr="00DA11FA">
        <w:tc>
          <w:tcPr>
            <w:tcW w:w="1289" w:type="dxa"/>
            <w:vMerge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213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92B77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Eurasian Intergovernmental</w:t>
            </w:r>
            <w:r w:rsidR="00DA11FA" w:rsidRPr="006367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Council + Eurasian Commission (with members of parliaments assisting the meeting)</w:t>
            </w:r>
          </w:p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Negotiation mandate elaboration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>Mandate for the negotiations</w:t>
            </w:r>
            <w:r w:rsidR="00AF3A14">
              <w:rPr>
                <w:rFonts w:asciiTheme="minorHAnsi" w:hAnsiTheme="minorHAnsi"/>
                <w:sz w:val="20"/>
                <w:szCs w:val="20"/>
              </w:rPr>
              <w:t xml:space="preserve"> (2-3</w:t>
            </w:r>
            <w:r w:rsidR="00AF3A14">
              <w:rPr>
                <w:rFonts w:asciiTheme="minorHAnsi" w:hAnsiTheme="minorHAnsi"/>
                <w:sz w:val="20"/>
                <w:szCs w:val="20"/>
                <w:lang w:val="en-US"/>
              </w:rPr>
              <w:t>pages)</w:t>
            </w:r>
          </w:p>
        </w:tc>
      </w:tr>
      <w:tr w:rsidR="0063673F" w:rsidRPr="0063673F" w:rsidTr="00D548E7">
        <w:tc>
          <w:tcPr>
            <w:tcW w:w="1289" w:type="dxa"/>
            <w:shd w:val="clear" w:color="auto" w:fill="auto"/>
            <w:vAlign w:val="center"/>
          </w:tcPr>
          <w:p w:rsidR="0063673F" w:rsidRPr="0063673F" w:rsidRDefault="0063673F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>14.00-15.10</w:t>
            </w:r>
          </w:p>
        </w:tc>
        <w:tc>
          <w:tcPr>
            <w:tcW w:w="2900" w:type="dxa"/>
          </w:tcPr>
          <w:p w:rsidR="0063673F" w:rsidRPr="0063673F" w:rsidRDefault="0063673F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216</w:t>
            </w:r>
          </w:p>
        </w:tc>
        <w:tc>
          <w:tcPr>
            <w:tcW w:w="5376" w:type="dxa"/>
            <w:gridSpan w:val="2"/>
            <w:shd w:val="clear" w:color="auto" w:fill="auto"/>
            <w:vAlign w:val="center"/>
          </w:tcPr>
          <w:p w:rsidR="0063673F" w:rsidRPr="0063673F" w:rsidRDefault="0063673F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Lunch break </w:t>
            </w:r>
          </w:p>
        </w:tc>
      </w:tr>
      <w:tr w:rsidR="00DA11FA" w:rsidRPr="0063673F" w:rsidTr="00DA11FA">
        <w:tc>
          <w:tcPr>
            <w:tcW w:w="1289" w:type="dxa"/>
            <w:vMerge w:val="restart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>15:20 – 18:00</w:t>
            </w:r>
          </w:p>
        </w:tc>
        <w:tc>
          <w:tcPr>
            <w:tcW w:w="8276" w:type="dxa"/>
            <w:gridSpan w:val="3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Negotiations between the EU Commission and EEU commission members</w:t>
            </w:r>
          </w:p>
        </w:tc>
      </w:tr>
      <w:tr w:rsidR="00DA11FA" w:rsidRPr="0063673F" w:rsidTr="00DA11FA">
        <w:tc>
          <w:tcPr>
            <w:tcW w:w="1289" w:type="dxa"/>
            <w:vMerge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108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Group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1.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A11FA" w:rsidRPr="0063673F" w:rsidTr="00DA11FA">
        <w:tc>
          <w:tcPr>
            <w:tcW w:w="1289" w:type="dxa"/>
            <w:vMerge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206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Group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2.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A11FA" w:rsidRPr="0063673F" w:rsidTr="00DA11FA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124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Group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3.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3673F" w:rsidRPr="0063673F" w:rsidTr="002A0BBD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63673F" w:rsidRPr="0063673F" w:rsidRDefault="0063673F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76" w:type="dxa"/>
            <w:gridSpan w:val="3"/>
          </w:tcPr>
          <w:p w:rsidR="0063673F" w:rsidRPr="0063673F" w:rsidRDefault="0063673F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Negotiations in the parliaments</w:t>
            </w:r>
          </w:p>
        </w:tc>
      </w:tr>
      <w:tr w:rsidR="00DA11FA" w:rsidRPr="0063673F" w:rsidTr="00DA11FA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Computer Class (</w:t>
            </w:r>
            <w:r w:rsidR="0063673F" w:rsidRPr="0063673F">
              <w:rPr>
                <w:rFonts w:asciiTheme="minorHAnsi" w:hAnsiTheme="minorHAnsi"/>
                <w:i/>
                <w:sz w:val="20"/>
                <w:szCs w:val="20"/>
              </w:rPr>
              <w:t>214 / 215?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Negotiations in the respective legislative assemblies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Position on the mandate</w:t>
            </w:r>
            <w:r w:rsidR="00CB3668">
              <w:rPr>
                <w:rFonts w:asciiTheme="minorHAnsi" w:hAnsiTheme="minorHAnsi"/>
                <w:i/>
                <w:sz w:val="20"/>
                <w:szCs w:val="20"/>
              </w:rPr>
              <w:t xml:space="preserve"> – 1-2 pages each </w:t>
            </w:r>
            <w:proofErr w:type="spellStart"/>
            <w:r w:rsidR="00CB3668">
              <w:rPr>
                <w:rFonts w:asciiTheme="minorHAnsi" w:hAnsiTheme="minorHAnsi"/>
                <w:i/>
                <w:sz w:val="20"/>
                <w:szCs w:val="20"/>
              </w:rPr>
              <w:t>parliamen</w:t>
            </w:r>
            <w:proofErr w:type="spellEnd"/>
          </w:p>
        </w:tc>
      </w:tr>
      <w:tr w:rsidR="0063673F" w:rsidRPr="0063673F" w:rsidTr="005A331C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63673F" w:rsidRPr="0063673F" w:rsidRDefault="0063673F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76" w:type="dxa"/>
            <w:gridSpan w:val="3"/>
          </w:tcPr>
          <w:p w:rsidR="0063673F" w:rsidRPr="0063673F" w:rsidRDefault="0063673F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Negotiations in the Councils</w:t>
            </w:r>
          </w:p>
        </w:tc>
      </w:tr>
      <w:tr w:rsidR="00DA11FA" w:rsidRPr="0063673F" w:rsidTr="00DA11FA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216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Discussions within the EU Council on the nature of cooperation with Russia and the Eurasian Economic Union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Position on the political context of the negotiations </w:t>
            </w:r>
          </w:p>
        </w:tc>
      </w:tr>
      <w:tr w:rsidR="00DA11FA" w:rsidRPr="0063673F" w:rsidTr="00DA11FA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213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Discussions within the Eurasian Intergovernmental Council on the nature of cooperation with the European Union and specific concerns of the EAEU member states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Position on the political context of the negotiations</w:t>
            </w:r>
          </w:p>
        </w:tc>
      </w:tr>
    </w:tbl>
    <w:p w:rsidR="00762EF0" w:rsidRPr="006D0FA1" w:rsidRDefault="006D0FA1" w:rsidP="009F20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>Coffee-breaks will be served in room 216 at 11:00 and 16</w:t>
      </w:r>
      <w:r w:rsidRPr="006D0FA1">
        <w:rPr>
          <w:rFonts w:asciiTheme="minorHAnsi" w:hAnsiTheme="minorHAnsi" w:cs="Arial"/>
          <w:b/>
          <w:sz w:val="20"/>
          <w:szCs w:val="20"/>
          <w:lang w:val="en-US"/>
        </w:rPr>
        <w:t>:00</w:t>
      </w:r>
    </w:p>
    <w:p w:rsidR="00762EF0" w:rsidRPr="0063673F" w:rsidRDefault="00762EF0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63673F">
        <w:rPr>
          <w:rFonts w:asciiTheme="minorHAnsi" w:hAnsiTheme="minorHAnsi" w:cs="Arial"/>
          <w:b/>
          <w:sz w:val="20"/>
          <w:szCs w:val="20"/>
          <w:lang w:val="en-US"/>
        </w:rPr>
        <w:br w:type="page"/>
      </w:r>
    </w:p>
    <w:p w:rsidR="009F20AB" w:rsidRPr="0063673F" w:rsidRDefault="0051097B" w:rsidP="009F20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63673F">
        <w:rPr>
          <w:rFonts w:asciiTheme="minorHAnsi" w:hAnsiTheme="minorHAnsi" w:cs="Arial"/>
          <w:b/>
          <w:sz w:val="20"/>
          <w:szCs w:val="20"/>
          <w:lang w:val="en-US"/>
        </w:rPr>
        <w:lastRenderedPageBreak/>
        <w:t>April</w:t>
      </w:r>
      <w:r w:rsidR="009F20AB" w:rsidRPr="0063673F">
        <w:rPr>
          <w:rFonts w:asciiTheme="minorHAnsi" w:hAnsiTheme="minorHAnsi" w:cs="Arial"/>
          <w:b/>
          <w:sz w:val="20"/>
          <w:szCs w:val="20"/>
          <w:lang w:val="en-US"/>
        </w:rPr>
        <w:t xml:space="preserve"> 2</w:t>
      </w:r>
      <w:r w:rsidRPr="0063673F">
        <w:rPr>
          <w:rFonts w:asciiTheme="minorHAnsi" w:hAnsiTheme="minorHAnsi" w:cs="Arial"/>
          <w:b/>
          <w:sz w:val="20"/>
          <w:szCs w:val="20"/>
          <w:lang w:val="en-US"/>
        </w:rPr>
        <w:t>7</w:t>
      </w:r>
    </w:p>
    <w:p w:rsidR="009F20AB" w:rsidRPr="0063673F" w:rsidRDefault="009F20AB" w:rsidP="009F20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900"/>
        <w:gridCol w:w="3510"/>
        <w:gridCol w:w="1866"/>
      </w:tblGrid>
      <w:tr w:rsidR="00DA11FA" w:rsidRPr="0063673F" w:rsidTr="00DA11FA">
        <w:tc>
          <w:tcPr>
            <w:tcW w:w="1289" w:type="dxa"/>
            <w:vMerge w:val="restart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>11:00 – 13:40</w:t>
            </w:r>
          </w:p>
        </w:tc>
        <w:tc>
          <w:tcPr>
            <w:tcW w:w="8276" w:type="dxa"/>
            <w:gridSpan w:val="3"/>
          </w:tcPr>
          <w:p w:rsidR="00DA11FA" w:rsidRPr="0063673F" w:rsidRDefault="00DA11FA" w:rsidP="0063673F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Negotiations between the EU Commission and E</w:t>
            </w:r>
            <w:r w:rsidR="0063673F"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</w:t>
            </w: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EU </w:t>
            </w:r>
            <w:r w:rsidR="0063673F"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</w:t>
            </w: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ommission members</w:t>
            </w:r>
          </w:p>
        </w:tc>
      </w:tr>
      <w:tr w:rsidR="00DA11FA" w:rsidRPr="0063673F" w:rsidTr="00DA11FA">
        <w:tc>
          <w:tcPr>
            <w:tcW w:w="1289" w:type="dxa"/>
            <w:vMerge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108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Group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1.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93169F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Interim decisions – 2 pages</w:t>
            </w:r>
          </w:p>
        </w:tc>
      </w:tr>
      <w:tr w:rsidR="00DA11FA" w:rsidRPr="0063673F" w:rsidTr="00DA11FA">
        <w:tc>
          <w:tcPr>
            <w:tcW w:w="1289" w:type="dxa"/>
            <w:vMerge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206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Group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2.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93169F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Interim decisions – 2 pages</w:t>
            </w:r>
          </w:p>
        </w:tc>
      </w:tr>
      <w:tr w:rsidR="00DA11FA" w:rsidRPr="0063673F" w:rsidTr="00DA11FA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124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Group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3.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93169F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Interim decisions – 2 pages</w:t>
            </w:r>
          </w:p>
        </w:tc>
      </w:tr>
      <w:tr w:rsidR="008C72F6" w:rsidRPr="0063673F" w:rsidTr="008C72F6">
        <w:trPr>
          <w:trHeight w:val="560"/>
        </w:trPr>
        <w:tc>
          <w:tcPr>
            <w:tcW w:w="1289" w:type="dxa"/>
            <w:vMerge/>
            <w:shd w:val="clear" w:color="auto" w:fill="auto"/>
            <w:vAlign w:val="center"/>
          </w:tcPr>
          <w:p w:rsidR="008C72F6" w:rsidRPr="0063673F" w:rsidRDefault="008C72F6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76" w:type="dxa"/>
            <w:gridSpan w:val="3"/>
          </w:tcPr>
          <w:p w:rsidR="008C72F6" w:rsidRPr="0063673F" w:rsidRDefault="008C72F6" w:rsidP="008C72F6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egotiations 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between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the parliaments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and the councils</w:t>
            </w:r>
          </w:p>
        </w:tc>
      </w:tr>
      <w:tr w:rsidR="00DA11FA" w:rsidRPr="0063673F" w:rsidTr="00DA11FA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:rsidR="00DA11FA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216</w:t>
            </w:r>
          </w:p>
          <w:p w:rsidR="008C72F6" w:rsidRPr="0063673F" w:rsidRDefault="008C72F6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Offline (local participants only)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8C72F6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Discussions w</w:t>
            </w:r>
            <w:r w:rsidR="008C72F6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Negotiations between</w:t>
            </w:r>
            <w:r w:rsidR="008C72F6"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the EP </w:t>
            </w:r>
            <w:r w:rsidR="008C72F6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and </w:t>
            </w: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 EU Council on the nature of cooperation with Russia and the Eurasian Economic Union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Position on the political context of the negotiations – 1 page declaration</w:t>
            </w:r>
          </w:p>
        </w:tc>
      </w:tr>
      <w:tr w:rsidR="00DA11FA" w:rsidRPr="0063673F" w:rsidTr="00DA11FA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:rsidR="00DA11FA" w:rsidRPr="00811C89" w:rsidRDefault="00811C89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ru-RU"/>
              </w:rPr>
              <w:t>134</w:t>
            </w:r>
          </w:p>
          <w:p w:rsidR="008C72F6" w:rsidRPr="0063673F" w:rsidRDefault="008C72F6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Offline (local participants only)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A11FA" w:rsidRPr="0063673F" w:rsidRDefault="00DA11FA" w:rsidP="008C72F6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Discussions </w:t>
            </w:r>
            <w:r w:rsidR="008C72F6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between the Eurasian parliaments and </w:t>
            </w: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 Eurasian Intergovernmental Council on the nature of cooperation with the European Union and specific concerns of the EAEU member states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A11FA" w:rsidRPr="0063673F" w:rsidRDefault="00DA11FA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Position on the political context of the negotiations – 1 page declaration</w:t>
            </w:r>
          </w:p>
        </w:tc>
      </w:tr>
      <w:tr w:rsidR="0063673F" w:rsidRPr="0063673F" w:rsidTr="00526507">
        <w:trPr>
          <w:trHeight w:val="463"/>
        </w:trPr>
        <w:tc>
          <w:tcPr>
            <w:tcW w:w="1289" w:type="dxa"/>
            <w:shd w:val="clear" w:color="auto" w:fill="auto"/>
            <w:vAlign w:val="center"/>
          </w:tcPr>
          <w:p w:rsidR="0063673F" w:rsidRPr="0063673F" w:rsidRDefault="0063673F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>14.00-15.10</w:t>
            </w:r>
          </w:p>
        </w:tc>
        <w:tc>
          <w:tcPr>
            <w:tcW w:w="2900" w:type="dxa"/>
          </w:tcPr>
          <w:p w:rsidR="0063673F" w:rsidRPr="0063673F" w:rsidRDefault="0063673F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216</w:t>
            </w:r>
          </w:p>
        </w:tc>
        <w:tc>
          <w:tcPr>
            <w:tcW w:w="5376" w:type="dxa"/>
            <w:gridSpan w:val="2"/>
            <w:shd w:val="clear" w:color="auto" w:fill="auto"/>
            <w:vAlign w:val="center"/>
          </w:tcPr>
          <w:p w:rsidR="0063673F" w:rsidRDefault="0063673F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Lunch break </w:t>
            </w:r>
          </w:p>
          <w:p w:rsidR="00811C89" w:rsidRPr="00811C89" w:rsidRDefault="00811C89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Room 216</w:t>
            </w:r>
          </w:p>
        </w:tc>
      </w:tr>
      <w:tr w:rsidR="00D92B77" w:rsidRPr="0063673F" w:rsidTr="00DA11FA">
        <w:trPr>
          <w:trHeight w:val="463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D92B77" w:rsidRPr="0063673F" w:rsidRDefault="00D92B77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>15.20-18.00</w:t>
            </w:r>
          </w:p>
        </w:tc>
        <w:tc>
          <w:tcPr>
            <w:tcW w:w="2900" w:type="dxa"/>
          </w:tcPr>
          <w:p w:rsidR="00D92B77" w:rsidRPr="0063673F" w:rsidRDefault="00D92B77" w:rsidP="00D92B7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216 </w:t>
            </w:r>
          </w:p>
          <w:p w:rsidR="00D92B77" w:rsidRPr="0063673F" w:rsidRDefault="00D92B77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Offline </w:t>
            </w:r>
          </w:p>
          <w:p w:rsidR="00D92B77" w:rsidRPr="0063673F" w:rsidRDefault="00D92B77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(local participants only)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92B77" w:rsidRPr="0063673F" w:rsidRDefault="00D92B77" w:rsidP="008C72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European Commission informs the EU Council and the EP about the progress of negotiations and gets</w:t>
            </w:r>
            <w:r w:rsidR="008C72F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instructions from the Council, assisted by the EP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92B77" w:rsidRPr="0063673F" w:rsidRDefault="00D92B77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Corrected negotiation position</w:t>
            </w:r>
          </w:p>
        </w:tc>
      </w:tr>
      <w:tr w:rsidR="00D92B77" w:rsidRPr="0063673F" w:rsidTr="00DA11FA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D92B77" w:rsidRPr="0063673F" w:rsidRDefault="00D92B77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D92B77" w:rsidRPr="0063673F" w:rsidRDefault="00D92B77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D92B77" w:rsidRPr="0063673F" w:rsidRDefault="00D92B77" w:rsidP="00D92B7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213</w:t>
            </w:r>
          </w:p>
          <w:p w:rsidR="00D92B77" w:rsidRPr="0063673F" w:rsidRDefault="00D92B77" w:rsidP="00D92B77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Offline </w:t>
            </w:r>
          </w:p>
          <w:p w:rsidR="00D92B77" w:rsidRPr="0063673F" w:rsidRDefault="00D92B77" w:rsidP="00D92B7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(local participants only)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92B77" w:rsidRPr="0063673F" w:rsidRDefault="00D92B77" w:rsidP="008C72F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Eurasian Commission informs the Eurasian Intergovernmental Council and national parliaments  about the progress of negotiations and gets instructions</w:t>
            </w:r>
            <w:r w:rsidR="008C72F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from the Council, assisted by parliaments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92B77" w:rsidRPr="0063673F" w:rsidRDefault="00D92B77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Corrected negotiation position</w:t>
            </w:r>
          </w:p>
        </w:tc>
      </w:tr>
      <w:tr w:rsidR="00D92B77" w:rsidRPr="0063673F" w:rsidTr="00DA11FA">
        <w:trPr>
          <w:trHeight w:val="463"/>
        </w:trPr>
        <w:tc>
          <w:tcPr>
            <w:tcW w:w="1289" w:type="dxa"/>
            <w:shd w:val="clear" w:color="auto" w:fill="auto"/>
            <w:vAlign w:val="center"/>
          </w:tcPr>
          <w:p w:rsidR="00D92B77" w:rsidRPr="0063673F" w:rsidRDefault="00D92B77" w:rsidP="00DA11F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>18.00-18.30</w:t>
            </w:r>
          </w:p>
        </w:tc>
        <w:tc>
          <w:tcPr>
            <w:tcW w:w="2900" w:type="dxa"/>
          </w:tcPr>
          <w:p w:rsidR="0063673F" w:rsidRPr="00811C89" w:rsidRDefault="0063673F" w:rsidP="0063673F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ru-RU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Computer Class (</w:t>
            </w:r>
            <w:r w:rsidR="00811C89">
              <w:rPr>
                <w:rFonts w:asciiTheme="minorHAnsi" w:hAnsiTheme="minorHAnsi"/>
                <w:i/>
                <w:sz w:val="20"/>
                <w:szCs w:val="20"/>
                <w:lang w:val="ru-RU"/>
              </w:rPr>
              <w:t>142)</w:t>
            </w:r>
          </w:p>
          <w:p w:rsidR="00D92B77" w:rsidRPr="0063673F" w:rsidRDefault="0063673F" w:rsidP="0063673F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92B77" w:rsidRPr="0063673F" w:rsidRDefault="00D92B77" w:rsidP="00D92B7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Members of the EP and national parliaments inform their online colleagues about the progress and get their instructions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92B77" w:rsidRPr="0063673F" w:rsidRDefault="0093169F" w:rsidP="00DA11FA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Guidelines for the final agreement</w:t>
            </w:r>
          </w:p>
        </w:tc>
      </w:tr>
    </w:tbl>
    <w:p w:rsidR="00DA11FA" w:rsidRPr="0063673F" w:rsidRDefault="00DA11FA" w:rsidP="009F20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9D08C6" w:rsidRDefault="009D08C6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6D0FA1" w:rsidRPr="006D0FA1" w:rsidRDefault="006D0FA1" w:rsidP="006D0FA1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>Coffee-breaks will be served in room 216 at 1</w:t>
      </w:r>
      <w:r w:rsidRPr="006D0FA1">
        <w:rPr>
          <w:rFonts w:asciiTheme="minorHAnsi" w:hAnsiTheme="minorHAnsi" w:cs="Arial"/>
          <w:b/>
          <w:sz w:val="20"/>
          <w:szCs w:val="20"/>
          <w:lang w:val="en-US"/>
        </w:rPr>
        <w:t>2</w:t>
      </w:r>
      <w:r w:rsidR="00811C89">
        <w:rPr>
          <w:rFonts w:asciiTheme="minorHAnsi" w:hAnsiTheme="minorHAnsi" w:cs="Arial"/>
          <w:b/>
          <w:sz w:val="20"/>
          <w:szCs w:val="20"/>
          <w:lang w:val="en-US"/>
        </w:rPr>
        <w:t>:00 and 1</w:t>
      </w:r>
      <w:r w:rsidR="00811C89" w:rsidRPr="00811C89">
        <w:rPr>
          <w:rFonts w:asciiTheme="minorHAnsi" w:hAnsiTheme="minorHAnsi" w:cs="Arial"/>
          <w:b/>
          <w:sz w:val="20"/>
          <w:szCs w:val="20"/>
          <w:lang w:val="en-US"/>
        </w:rPr>
        <w:t>4</w:t>
      </w:r>
      <w:r w:rsidRPr="006D0FA1">
        <w:rPr>
          <w:rFonts w:asciiTheme="minorHAnsi" w:hAnsiTheme="minorHAnsi" w:cs="Arial"/>
          <w:b/>
          <w:sz w:val="20"/>
          <w:szCs w:val="20"/>
          <w:lang w:val="en-US"/>
        </w:rPr>
        <w:t>:00</w:t>
      </w:r>
    </w:p>
    <w:p w:rsidR="009D08C6" w:rsidRDefault="009D08C6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63673F" w:rsidRDefault="0063673F">
      <w:pPr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br w:type="page"/>
      </w:r>
    </w:p>
    <w:p w:rsidR="009F20AB" w:rsidRPr="0063673F" w:rsidRDefault="0051097B" w:rsidP="009F20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63673F">
        <w:rPr>
          <w:rFonts w:asciiTheme="minorHAnsi" w:hAnsiTheme="minorHAnsi" w:cs="Arial"/>
          <w:b/>
          <w:sz w:val="20"/>
          <w:szCs w:val="20"/>
          <w:lang w:val="en-US"/>
        </w:rPr>
        <w:lastRenderedPageBreak/>
        <w:t xml:space="preserve">April 28 </w:t>
      </w:r>
    </w:p>
    <w:p w:rsidR="009F20AB" w:rsidRPr="0063673F" w:rsidRDefault="009F20AB" w:rsidP="009F20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900"/>
        <w:gridCol w:w="3510"/>
        <w:gridCol w:w="1866"/>
      </w:tblGrid>
      <w:tr w:rsidR="00653695" w:rsidRPr="0063673F" w:rsidTr="00653695">
        <w:tc>
          <w:tcPr>
            <w:tcW w:w="1289" w:type="dxa"/>
            <w:vMerge w:val="restart"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>11:00 – 13:40</w:t>
            </w:r>
          </w:p>
        </w:tc>
        <w:tc>
          <w:tcPr>
            <w:tcW w:w="8276" w:type="dxa"/>
            <w:gridSpan w:val="3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Negotiations between the EU Commission and EEU commission members</w:t>
            </w:r>
          </w:p>
        </w:tc>
      </w:tr>
      <w:tr w:rsidR="00653695" w:rsidRPr="0063673F" w:rsidTr="00653695">
        <w:tc>
          <w:tcPr>
            <w:tcW w:w="1289" w:type="dxa"/>
            <w:vMerge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108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Group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1.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Final decisions – 3 pages</w:t>
            </w:r>
          </w:p>
        </w:tc>
      </w:tr>
      <w:tr w:rsidR="00653695" w:rsidRPr="0063673F" w:rsidTr="00653695">
        <w:tc>
          <w:tcPr>
            <w:tcW w:w="1289" w:type="dxa"/>
            <w:vMerge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206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Group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2.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Final decisions – 3 pages</w:t>
            </w:r>
          </w:p>
        </w:tc>
      </w:tr>
      <w:tr w:rsidR="00653695" w:rsidRPr="0063673F" w:rsidTr="00653695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124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Group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3.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Final decisions – 3 pages</w:t>
            </w:r>
          </w:p>
        </w:tc>
      </w:tr>
      <w:tr w:rsidR="0063673F" w:rsidRPr="0063673F" w:rsidTr="00C23641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63673F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76" w:type="dxa"/>
            <w:gridSpan w:val="3"/>
          </w:tcPr>
          <w:p w:rsidR="0063673F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Negotiations in the parliaments</w:t>
            </w:r>
          </w:p>
        </w:tc>
      </w:tr>
      <w:tr w:rsidR="0063673F" w:rsidRPr="0063673F" w:rsidTr="00653695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63673F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63673F" w:rsidRPr="0063673F" w:rsidRDefault="00811C89" w:rsidP="00AE7A3E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142</w:t>
            </w:r>
          </w:p>
          <w:p w:rsidR="0063673F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Offline (local participants only)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3673F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Negotiations in the EP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3673F" w:rsidRPr="0063673F" w:rsidRDefault="0063673F" w:rsidP="0063673F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Position on the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interim progress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– 1 page summary</w:t>
            </w:r>
          </w:p>
        </w:tc>
      </w:tr>
      <w:tr w:rsidR="0063673F" w:rsidRPr="0063673F" w:rsidTr="00653695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63673F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63673F" w:rsidRPr="0063673F" w:rsidRDefault="00811C89" w:rsidP="00AE7A3E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213</w:t>
            </w:r>
          </w:p>
          <w:p w:rsidR="0063673F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Offline (local participants only)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3673F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Negotiations in the national parliaments of the Eurasian Economic Union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3673F" w:rsidRPr="0063673F" w:rsidRDefault="0063673F" w:rsidP="0063673F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Position on the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interim progress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– 1 page summary</w:t>
            </w:r>
          </w:p>
        </w:tc>
      </w:tr>
      <w:tr w:rsidR="0063673F" w:rsidRPr="0063673F" w:rsidTr="00A6192C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63673F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76" w:type="dxa"/>
            <w:gridSpan w:val="3"/>
          </w:tcPr>
          <w:p w:rsidR="0063673F" w:rsidRPr="0063673F" w:rsidRDefault="0063673F" w:rsidP="0063673F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>Negotiations in the Councils</w:t>
            </w:r>
          </w:p>
        </w:tc>
      </w:tr>
      <w:tr w:rsidR="00653695" w:rsidRPr="0063673F" w:rsidTr="00653695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216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Discussions within the EU Council on the nature of cooperation with Russia and the Eurasian Economic Union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53695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Position on the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interim progress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– 1 page summary</w:t>
            </w:r>
          </w:p>
        </w:tc>
      </w:tr>
      <w:tr w:rsidR="00653695" w:rsidRPr="0063673F" w:rsidTr="00653695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:rsidR="00653695" w:rsidRPr="0063673F" w:rsidRDefault="00811C89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134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3695" w:rsidRPr="0063673F" w:rsidRDefault="00653695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Discussions within the Eurasian Intergovernmental Council on the nature of cooperation with the European Union and specific concerns of the EAEU member states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53695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Position on the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interim progress</w:t>
            </w:r>
            <w:r w:rsidRPr="0063673F">
              <w:rPr>
                <w:rFonts w:asciiTheme="minorHAnsi" w:hAnsiTheme="minorHAnsi"/>
                <w:i/>
                <w:sz w:val="20"/>
                <w:szCs w:val="20"/>
              </w:rPr>
              <w:t xml:space="preserve"> – 1 page summary</w:t>
            </w:r>
          </w:p>
        </w:tc>
      </w:tr>
      <w:tr w:rsidR="0063673F" w:rsidRPr="0063673F" w:rsidTr="00432442">
        <w:trPr>
          <w:trHeight w:val="463"/>
        </w:trPr>
        <w:tc>
          <w:tcPr>
            <w:tcW w:w="1289" w:type="dxa"/>
            <w:shd w:val="clear" w:color="auto" w:fill="auto"/>
            <w:vAlign w:val="center"/>
          </w:tcPr>
          <w:p w:rsidR="0063673F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>14.00-15.10</w:t>
            </w:r>
          </w:p>
        </w:tc>
        <w:tc>
          <w:tcPr>
            <w:tcW w:w="2900" w:type="dxa"/>
          </w:tcPr>
          <w:p w:rsidR="0063673F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216</w:t>
            </w:r>
          </w:p>
        </w:tc>
        <w:tc>
          <w:tcPr>
            <w:tcW w:w="5376" w:type="dxa"/>
            <w:gridSpan w:val="2"/>
            <w:shd w:val="clear" w:color="auto" w:fill="auto"/>
            <w:vAlign w:val="center"/>
          </w:tcPr>
          <w:p w:rsidR="0063673F" w:rsidRPr="0063673F" w:rsidRDefault="0063673F" w:rsidP="00653695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Lunch break </w:t>
            </w:r>
          </w:p>
        </w:tc>
      </w:tr>
      <w:tr w:rsidR="00293948" w:rsidRPr="0063673F" w:rsidTr="00AE7A3E">
        <w:trPr>
          <w:trHeight w:val="463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293948" w:rsidRPr="0063673F" w:rsidRDefault="00293948" w:rsidP="00AE7A3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</w:rPr>
              <w:t>15.20-18.00</w:t>
            </w:r>
          </w:p>
        </w:tc>
        <w:tc>
          <w:tcPr>
            <w:tcW w:w="2900" w:type="dxa"/>
          </w:tcPr>
          <w:p w:rsidR="00293948" w:rsidRPr="0063673F" w:rsidRDefault="00293948" w:rsidP="00AE7A3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216 </w:t>
            </w:r>
          </w:p>
          <w:p w:rsidR="00293948" w:rsidRPr="00293948" w:rsidRDefault="00293948" w:rsidP="00AE7A3E">
            <w:pPr>
              <w:spacing w:before="120" w:after="120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29394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online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3948" w:rsidRPr="0063673F" w:rsidRDefault="00293948" w:rsidP="00293948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European Commission informs the EU Council and the EP about the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results</w:t>
            </w: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 negotiations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, answers questions and critique and puts the agreement on vote</w:t>
            </w:r>
            <w:r w:rsidR="004D7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the Council and the EP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93948" w:rsidRPr="0063673F" w:rsidRDefault="004D7A83" w:rsidP="00AE7A3E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Approval or rejection of the text</w:t>
            </w:r>
          </w:p>
        </w:tc>
      </w:tr>
      <w:tr w:rsidR="00293948" w:rsidRPr="0063673F" w:rsidTr="00AE7A3E">
        <w:trPr>
          <w:trHeight w:val="463"/>
        </w:trPr>
        <w:tc>
          <w:tcPr>
            <w:tcW w:w="1289" w:type="dxa"/>
            <w:vMerge/>
            <w:shd w:val="clear" w:color="auto" w:fill="auto"/>
            <w:vAlign w:val="center"/>
          </w:tcPr>
          <w:p w:rsidR="00293948" w:rsidRPr="0063673F" w:rsidRDefault="00293948" w:rsidP="00AE7A3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0" w:type="dxa"/>
          </w:tcPr>
          <w:p w:rsidR="00293948" w:rsidRPr="0063673F" w:rsidRDefault="00293948" w:rsidP="00AE7A3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293948" w:rsidRPr="0063673F" w:rsidRDefault="00293948" w:rsidP="00AE7A3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213</w:t>
            </w:r>
          </w:p>
          <w:p w:rsidR="00293948" w:rsidRPr="00293948" w:rsidRDefault="00293948" w:rsidP="00AE7A3E">
            <w:pPr>
              <w:spacing w:before="120" w:after="120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29394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online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3948" w:rsidRPr="0063673F" w:rsidRDefault="00293948" w:rsidP="00AE7A3E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Eurasian Commission informs the Eurasian Intergovernmental Council and national parliaments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about</w:t>
            </w: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the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results</w:t>
            </w: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 negotiations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, answers questions and critique and puts the agreement on vote</w:t>
            </w:r>
            <w:r w:rsidR="004D7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the Council and national parliaments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93948" w:rsidRPr="0063673F" w:rsidRDefault="004D7A83" w:rsidP="00AE7A3E">
            <w:pPr>
              <w:spacing w:before="120" w:after="1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Approval or rejection of the text</w:t>
            </w:r>
          </w:p>
        </w:tc>
      </w:tr>
      <w:tr w:rsidR="00293948" w:rsidRPr="0063673F" w:rsidTr="00432442">
        <w:trPr>
          <w:trHeight w:val="463"/>
        </w:trPr>
        <w:tc>
          <w:tcPr>
            <w:tcW w:w="1289" w:type="dxa"/>
            <w:shd w:val="clear" w:color="auto" w:fill="auto"/>
            <w:vAlign w:val="center"/>
          </w:tcPr>
          <w:p w:rsidR="00293948" w:rsidRPr="0063673F" w:rsidRDefault="004D7A83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17.30 – 18.00</w:t>
            </w:r>
          </w:p>
        </w:tc>
        <w:tc>
          <w:tcPr>
            <w:tcW w:w="2900" w:type="dxa"/>
          </w:tcPr>
          <w:p w:rsidR="00293948" w:rsidRPr="0063673F" w:rsidRDefault="004D7A83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216</w:t>
            </w:r>
          </w:p>
        </w:tc>
        <w:tc>
          <w:tcPr>
            <w:tcW w:w="5376" w:type="dxa"/>
            <w:gridSpan w:val="2"/>
            <w:shd w:val="clear" w:color="auto" w:fill="auto"/>
            <w:vAlign w:val="center"/>
          </w:tcPr>
          <w:p w:rsidR="00293948" w:rsidRPr="0063673F" w:rsidRDefault="004D7A83" w:rsidP="0065369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673F">
              <w:rPr>
                <w:rFonts w:asciiTheme="minorHAnsi" w:hAnsiTheme="minorHAnsi"/>
                <w:sz w:val="20"/>
                <w:szCs w:val="20"/>
                <w:lang w:val="en-US"/>
              </w:rPr>
              <w:t>Closing ceremony, award of the diplomas etc.</w:t>
            </w:r>
          </w:p>
        </w:tc>
      </w:tr>
    </w:tbl>
    <w:p w:rsidR="00653695" w:rsidRDefault="00653695" w:rsidP="009F20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9D08C6" w:rsidRDefault="009D08C6" w:rsidP="009F20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6D0FA1" w:rsidRPr="006D0FA1" w:rsidRDefault="006D0FA1" w:rsidP="006D0FA1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>Coffee-breaks will be served in room 216 at 11:00 and 1</w:t>
      </w:r>
      <w:r w:rsidR="003A3081">
        <w:rPr>
          <w:rFonts w:asciiTheme="minorHAnsi" w:hAnsiTheme="minorHAnsi" w:cs="Arial"/>
          <w:b/>
          <w:sz w:val="20"/>
          <w:szCs w:val="20"/>
          <w:lang w:val="en-US"/>
        </w:rPr>
        <w:t>4</w:t>
      </w:r>
      <w:bookmarkStart w:id="0" w:name="_GoBack"/>
      <w:bookmarkEnd w:id="0"/>
      <w:r w:rsidRPr="006D0FA1">
        <w:rPr>
          <w:rFonts w:asciiTheme="minorHAnsi" w:hAnsiTheme="minorHAnsi" w:cs="Arial"/>
          <w:b/>
          <w:sz w:val="20"/>
          <w:szCs w:val="20"/>
          <w:lang w:val="en-US"/>
        </w:rPr>
        <w:t>:00</w:t>
      </w:r>
    </w:p>
    <w:p w:rsidR="009D08C6" w:rsidRPr="0063673F" w:rsidRDefault="009D08C6" w:rsidP="009F20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sectPr w:rsidR="009D08C6" w:rsidRPr="0063673F" w:rsidSect="00762EF0">
      <w:pgSz w:w="11900" w:h="16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AB"/>
    <w:rsid w:val="00293948"/>
    <w:rsid w:val="0030132B"/>
    <w:rsid w:val="003A3081"/>
    <w:rsid w:val="004038C8"/>
    <w:rsid w:val="004D7A83"/>
    <w:rsid w:val="004F5454"/>
    <w:rsid w:val="0051097B"/>
    <w:rsid w:val="00566CC1"/>
    <w:rsid w:val="0063673F"/>
    <w:rsid w:val="00653695"/>
    <w:rsid w:val="006A22E0"/>
    <w:rsid w:val="006D0FA1"/>
    <w:rsid w:val="00762EF0"/>
    <w:rsid w:val="00811C89"/>
    <w:rsid w:val="008C72F6"/>
    <w:rsid w:val="0093169F"/>
    <w:rsid w:val="009D08C6"/>
    <w:rsid w:val="009F20AB"/>
    <w:rsid w:val="00AF3A14"/>
    <w:rsid w:val="00CB3668"/>
    <w:rsid w:val="00D92B77"/>
    <w:rsid w:val="00DA11FA"/>
    <w:rsid w:val="00DA5276"/>
    <w:rsid w:val="00DA5C76"/>
    <w:rsid w:val="00DE5FFE"/>
    <w:rsid w:val="00EB4CDA"/>
    <w:rsid w:val="00F027D0"/>
    <w:rsid w:val="00F6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B"/>
    <w:rPr>
      <w:rFonts w:ascii="Times New Roman" w:eastAsia="Times New Roman" w:hAnsi="Times New Roman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4C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CD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4CD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C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4CD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EB4C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CD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B"/>
    <w:rPr>
      <w:rFonts w:ascii="Times New Roman" w:eastAsia="Times New Roman" w:hAnsi="Times New Roman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4C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CD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4CD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C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4CD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EB4C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CD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Романова</dc:creator>
  <cp:lastModifiedBy>Леви Дмитрий Андреевич</cp:lastModifiedBy>
  <cp:revision>4</cp:revision>
  <cp:lastPrinted>2018-04-26T13:44:00Z</cp:lastPrinted>
  <dcterms:created xsi:type="dcterms:W3CDTF">2018-04-26T12:58:00Z</dcterms:created>
  <dcterms:modified xsi:type="dcterms:W3CDTF">2018-04-26T13:44:00Z</dcterms:modified>
</cp:coreProperties>
</file>